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1131.1417322834645" w:firstLine="0"/>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1131.1417322834645" w:firstLine="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1131.1417322834645" w:firstLine="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1131.1417322834645" w:firstLine="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1131.1417322834645" w:firstLine="0"/>
        <w:rPr/>
      </w:pPr>
      <w:r w:rsidDel="00000000" w:rsidR="00000000" w:rsidRPr="00000000">
        <w:rPr>
          <w:rtl w:val="0"/>
        </w:rPr>
      </w:r>
    </w:p>
    <w:p w:rsidR="00000000" w:rsidDel="00000000" w:rsidP="00000000" w:rsidRDefault="00000000" w:rsidRPr="00000000" w14:paraId="00000006">
      <w:pPr>
        <w:jc w:val="left"/>
        <w:rPr>
          <w:b w:val="1"/>
          <w:color w:val="d03631"/>
          <w:sz w:val="96"/>
          <w:szCs w:val="9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0" w:firstLine="0"/>
        <w:jc w:val="center"/>
        <w:rPr>
          <w:b w:val="1"/>
          <w:color w:val="ffffff"/>
          <w:sz w:val="96"/>
          <w:szCs w:val="96"/>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jc w:val="center"/>
        <w:rPr>
          <w:b w:val="1"/>
          <w:color w:val="ffffff"/>
          <w:sz w:val="96"/>
          <w:szCs w:val="9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0"/>
        <w:jc w:val="center"/>
        <w:rPr>
          <w:rFonts w:ascii="Montserrat ExtraLight" w:cs="Montserrat ExtraLight" w:eastAsia="Montserrat ExtraLight" w:hAnsi="Montserrat ExtraLight"/>
          <w:color w:val="ffffff"/>
          <w:sz w:val="96"/>
          <w:szCs w:val="96"/>
        </w:rPr>
      </w:pPr>
      <w:r w:rsidDel="00000000" w:rsidR="00000000" w:rsidRPr="00000000">
        <w:rPr>
          <w:rFonts w:ascii="Montserrat ExtraLight" w:cs="Montserrat ExtraLight" w:eastAsia="Montserrat ExtraLight" w:hAnsi="Montserrat ExtraLight"/>
          <w:color w:val="ffffff"/>
          <w:sz w:val="96"/>
          <w:szCs w:val="96"/>
          <w:rtl w:val="0"/>
        </w:rPr>
        <w:t xml:space="preserve">Model-regeling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jc w:val="center"/>
        <w:rPr>
          <w:i w:val="1"/>
          <w:color w:val="434343"/>
          <w:sz w:val="40"/>
          <w:szCs w:val="40"/>
        </w:rPr>
      </w:pPr>
      <w:r w:rsidDel="00000000" w:rsidR="00000000" w:rsidRPr="00000000">
        <w:rPr>
          <w:i w:val="1"/>
          <w:color w:val="434343"/>
          <w:sz w:val="40"/>
          <w:szCs w:val="40"/>
        </w:rPr>
        <mc:AlternateContent>
          <mc:Choice Requires="wpg">
            <w:drawing>
              <wp:anchor allowOverlap="1" behindDoc="0" distB="114300" distT="114300" distL="114300" distR="114300" hidden="0" layoutInCell="1" locked="0" relativeHeight="0" simplePos="0">
                <wp:simplePos x="0" y="0"/>
                <wp:positionH relativeFrom="page">
                  <wp:posOffset>815975</wp:posOffset>
                </wp:positionH>
                <wp:positionV relativeFrom="page">
                  <wp:posOffset>4373813</wp:posOffset>
                </wp:positionV>
                <wp:extent cx="5845075" cy="22510"/>
                <wp:effectExtent b="0" l="0" r="0" t="0"/>
                <wp:wrapNone/>
                <wp:docPr id="1" name=""/>
                <a:graphic>
                  <a:graphicData uri="http://schemas.microsoft.com/office/word/2010/wordprocessingShape">
                    <wps:wsp>
                      <wps:cNvCnPr/>
                      <wps:spPr>
                        <a:xfrm>
                          <a:off x="0" y="140125"/>
                          <a:ext cx="7409400" cy="12300"/>
                        </a:xfrm>
                        <a:prstGeom prst="straightConnector1">
                          <a:avLst/>
                        </a:prstGeom>
                        <a:noFill/>
                        <a:ln cap="flat" cmpd="sng" w="381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815975</wp:posOffset>
                </wp:positionH>
                <wp:positionV relativeFrom="page">
                  <wp:posOffset>4373813</wp:posOffset>
                </wp:positionV>
                <wp:extent cx="5845075" cy="225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45075" cy="225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jc w:val="center"/>
        <w:rPr>
          <w:rFonts w:ascii="Montserrat Light" w:cs="Montserrat Light" w:eastAsia="Montserrat Light" w:hAnsi="Montserrat Light"/>
          <w:color w:val="434343"/>
          <w:sz w:val="40"/>
          <w:szCs w:val="40"/>
        </w:rPr>
      </w:pPr>
      <w:r w:rsidDel="00000000" w:rsidR="00000000" w:rsidRPr="00000000">
        <w:rPr>
          <w:rFonts w:ascii="Montserrat Light" w:cs="Montserrat Light" w:eastAsia="Montserrat Light" w:hAnsi="Montserrat Light"/>
          <w:color w:val="434343"/>
          <w:sz w:val="40"/>
          <w:szCs w:val="40"/>
          <w:rtl w:val="0"/>
        </w:rPr>
        <w:t xml:space="preserve">geestelijk verzorger met bijzondere opdracht</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1D">
      <w:pPr>
        <w:ind w:left="1133.858267716535"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ind w:left="0" w:firstLine="0"/>
        <w:rPr/>
      </w:pPr>
      <w:bookmarkStart w:colFirst="0" w:colLast="0" w:name="_k29zq0t95g2p" w:id="0"/>
      <w:bookmarkEnd w:id="0"/>
      <w:r w:rsidDel="00000000" w:rsidR="00000000" w:rsidRPr="00000000">
        <w:rPr>
          <w:rtl w:val="0"/>
        </w:rPr>
        <w:t xml:space="preserve">De partijen</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1133.858267716535" w:firstLine="0"/>
        <w:jc w:val="left"/>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dhr/mw [ds.] </w:t>
      </w:r>
      <w:r w:rsidDel="00000000" w:rsidR="00000000" w:rsidRPr="00000000">
        <w:rPr>
          <w:highlight w:val="yellow"/>
          <w:rtl w:val="0"/>
        </w:rPr>
        <w:t xml:space="preserve">[naam geestelijk verzorger]</w:t>
      </w:r>
      <w:r w:rsidDel="00000000" w:rsidR="00000000" w:rsidRPr="00000000">
        <w:rPr>
          <w:rtl w:val="0"/>
        </w:rPr>
        <w:t xml:space="preserve"> (hierna: de geestelijk verzorger),,</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en;</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de (algemene) kerkenraad van de</w:t>
      </w:r>
      <w:r w:rsidDel="00000000" w:rsidR="00000000" w:rsidRPr="00000000">
        <w:rPr>
          <w:highlight w:val="yellow"/>
          <w:rtl w:val="0"/>
        </w:rPr>
        <w:t xml:space="preserve"> [naam gemeente]</w:t>
      </w:r>
      <w:r w:rsidDel="00000000" w:rsidR="00000000" w:rsidRPr="00000000">
        <w:rPr>
          <w:rtl w:val="0"/>
        </w:rPr>
        <w:t xml:space="preserve">/de classicale vergadering van </w:t>
      </w:r>
      <w:r w:rsidDel="00000000" w:rsidR="00000000" w:rsidRPr="00000000">
        <w:rPr>
          <w:highlight w:val="yellow"/>
          <w:rtl w:val="0"/>
        </w:rPr>
        <w:t xml:space="preserve">[naam classis]</w:t>
      </w:r>
      <w:r w:rsidDel="00000000" w:rsidR="00000000" w:rsidRPr="00000000">
        <w:rPr>
          <w:rtl w:val="0"/>
        </w:rPr>
        <w:t xml:space="preserve"> (verder: de ambtelijke vergadering),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en;</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Het bestuur van ………… te……. (verder: het bestuur)</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C">
      <w:pPr>
        <w:ind w:left="1133.858267716535" w:hanging="566.9291338582675"/>
        <w:rPr/>
      </w:pPr>
      <w:r w:rsidDel="00000000" w:rsidR="00000000" w:rsidRPr="00000000">
        <w:rPr>
          <w:rtl w:val="0"/>
        </w:rPr>
      </w:r>
    </w:p>
    <w:p w:rsidR="00000000" w:rsidDel="00000000" w:rsidP="00000000" w:rsidRDefault="00000000" w:rsidRPr="00000000" w14:paraId="0000002D">
      <w:pPr>
        <w:ind w:left="0" w:firstLine="0"/>
        <w:rPr>
          <w:b w:val="1"/>
          <w:highlight w:val="yellow"/>
        </w:rPr>
      </w:pPr>
      <w:r w:rsidDel="00000000" w:rsidR="00000000" w:rsidRPr="00000000">
        <w:rPr>
          <w:b w:val="1"/>
          <w:rtl w:val="0"/>
        </w:rPr>
        <w:t xml:space="preserve">Hebben de volgende regeling vastgesteld betreffende de arbeid van</w:t>
      </w:r>
      <w:r w:rsidDel="00000000" w:rsidR="00000000" w:rsidRPr="00000000">
        <w:rPr>
          <w:b w:val="1"/>
          <w:highlight w:val="yellow"/>
          <w:rtl w:val="0"/>
        </w:rPr>
        <w:t xml:space="preserve"> [naam geestelijk verzorger].</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pStyle w:val="Heading2"/>
        <w:spacing w:line="276" w:lineRule="auto"/>
        <w:rPr/>
      </w:pPr>
      <w:bookmarkStart w:colFirst="0" w:colLast="0" w:name="_2ck04z4ls7ml" w:id="1"/>
      <w:bookmarkEnd w:id="1"/>
      <w:r w:rsidDel="00000000" w:rsidR="00000000" w:rsidRPr="00000000">
        <w:rPr>
          <w:rtl w:val="0"/>
        </w:rPr>
        <w:t xml:space="preserve">Artikel 1 - de werkzaamheden</w:t>
      </w:r>
    </w:p>
    <w:p w:rsidR="00000000" w:rsidDel="00000000" w:rsidP="00000000" w:rsidRDefault="00000000" w:rsidRPr="00000000" w14:paraId="00000030">
      <w:pPr>
        <w:spacing w:line="276" w:lineRule="auto"/>
        <w:rPr/>
      </w:pPr>
      <w:r w:rsidDel="00000000" w:rsidR="00000000" w:rsidRPr="00000000">
        <w:rPr>
          <w:rtl w:val="0"/>
        </w:rPr>
        <w:t xml:space="preserve">1. De ambtelijke vergadering erkent het werk dat de geestelijk verzorger verricht als werkzaamheden die in rechtstreeks verband staan met de vervulling van het ambt of bediening. De ambtelijke vergadering zal ten behoeve van dit werk aan de geestelijk verzorger een bijzondere opdracht zoals bedoeld in ordinantie 3 van de kerkorde verschaffen. De beroepings-, c.q. opdrachtbrief van deze bijzondere opdracht zal aan deze regeling worden gehecht. De werkzaamheden zijn in de aangehechte bijlage nader omschreven.</w:t>
      </w:r>
    </w:p>
    <w:p w:rsidR="00000000" w:rsidDel="00000000" w:rsidP="00000000" w:rsidRDefault="00000000" w:rsidRPr="00000000" w14:paraId="00000031">
      <w:pPr>
        <w:spacing w:line="276" w:lineRule="auto"/>
        <w:rPr/>
      </w:pPr>
      <w:r w:rsidDel="00000000" w:rsidR="00000000" w:rsidRPr="00000000">
        <w:rPr>
          <w:rtl w:val="0"/>
        </w:rPr>
        <w:t xml:space="preserve">2. De ambtelijke vergadering heeft waar nodig haar oordeel heeft laten toetsen door of vanwege de kleine synode van de Protestantse Kerk in Nederland, danwel het breed moderamen van de classicale vergadering. Verklaringen van deze toetsende instanties zullen aan deze overeenkomst worden gehecht.</w:t>
      </w:r>
    </w:p>
    <w:p w:rsidR="00000000" w:rsidDel="00000000" w:rsidP="00000000" w:rsidRDefault="00000000" w:rsidRPr="00000000" w14:paraId="00000032">
      <w:pPr>
        <w:spacing w:line="276" w:lineRule="auto"/>
        <w:rPr/>
      </w:pPr>
      <w:r w:rsidDel="00000000" w:rsidR="00000000" w:rsidRPr="00000000">
        <w:rPr>
          <w:rtl w:val="0"/>
        </w:rPr>
        <w:t xml:space="preserve">3. De geestelijk verzorger is in het kader van zijn ambtelijk functioneren gebonden aan de geldende beroepscode en gedragsregels voor predikanten en overige vereisten</w:t>
      </w:r>
      <w:r w:rsidDel="00000000" w:rsidR="00000000" w:rsidRPr="00000000">
        <w:rPr>
          <w:vertAlign w:val="superscript"/>
        </w:rPr>
        <w:footnoteReference w:customMarkFollows="0" w:id="1"/>
      </w:r>
      <w:r w:rsidDel="00000000" w:rsidR="00000000" w:rsidRPr="00000000">
        <w:rPr>
          <w:rtl w:val="0"/>
        </w:rPr>
        <w:t xml:space="preserve"> van de Protestantse Kerk in Nederland.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spacing w:line="276" w:lineRule="auto"/>
        <w:rPr/>
      </w:pPr>
      <w:bookmarkStart w:colFirst="0" w:colLast="0" w:name="_if8iz6s8ve0i" w:id="2"/>
      <w:bookmarkEnd w:id="2"/>
      <w:r w:rsidDel="00000000" w:rsidR="00000000" w:rsidRPr="00000000">
        <w:rPr>
          <w:rtl w:val="0"/>
        </w:rPr>
        <w:t xml:space="preserve">Artikel 2 - de relatie tussen de kerk en de geestelijk verzorger</w:t>
      </w:r>
    </w:p>
    <w:p w:rsidR="00000000" w:rsidDel="00000000" w:rsidP="00000000" w:rsidRDefault="00000000" w:rsidRPr="00000000" w14:paraId="00000035">
      <w:pPr>
        <w:spacing w:line="276" w:lineRule="auto"/>
        <w:ind w:left="0" w:firstLine="0"/>
        <w:rPr/>
      </w:pPr>
      <w:r w:rsidDel="00000000" w:rsidR="00000000" w:rsidRPr="00000000">
        <w:rPr>
          <w:rtl w:val="0"/>
        </w:rPr>
        <w:t xml:space="preserve">1. De Protestantse Kerk in Nederland en/of haar zelfstandige onderdelen zijn geen werkgever van de geestelijk verzorger, noch draagt de kerk enige verantwoordelijkheid ten aanzien van de rechtspositie van de geestelijk verzorger.</w:t>
      </w:r>
    </w:p>
    <w:p w:rsidR="00000000" w:rsidDel="00000000" w:rsidP="00000000" w:rsidRDefault="00000000" w:rsidRPr="00000000" w14:paraId="00000036">
      <w:pPr>
        <w:spacing w:line="276" w:lineRule="auto"/>
        <w:ind w:left="0" w:firstLine="0"/>
        <w:rPr/>
      </w:pPr>
      <w:r w:rsidDel="00000000" w:rsidR="00000000" w:rsidRPr="00000000">
        <w:rPr>
          <w:rtl w:val="0"/>
        </w:rPr>
        <w:t xml:space="preserve">2. De ambtelijke vergadering is verantwoordelijk om toe te zien op de bevoegdheid en het ambtelijk functioneren van de geestelijk verzorger conform de bepalingen van de kerkorde van de Protestantse Kerk in Nederland, waaronder begrepen ordinantie 10 over het opzicht en het bepaalde aangaande de permanente educatie.</w:t>
      </w:r>
    </w:p>
    <w:p w:rsidR="00000000" w:rsidDel="00000000" w:rsidP="00000000" w:rsidRDefault="00000000" w:rsidRPr="00000000" w14:paraId="00000037">
      <w:pPr>
        <w:spacing w:line="276" w:lineRule="auto"/>
        <w:ind w:left="0" w:firstLine="0"/>
        <w:rPr/>
      </w:pPr>
      <w:r w:rsidDel="00000000" w:rsidR="00000000" w:rsidRPr="00000000">
        <w:rPr>
          <w:rtl w:val="0"/>
        </w:rPr>
        <w:t xml:space="preserve">3. Met inachtneming van het bepaalde in lid 1, zullen de geestelijk verzorger en de Protestantse Kerk in Nederland beide werken aan de invulling van hun wederkerige relatie.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spacing w:line="276" w:lineRule="auto"/>
        <w:rPr/>
      </w:pPr>
      <w:bookmarkStart w:colFirst="0" w:colLast="0" w:name="_qbqe8hi5zmxk" w:id="3"/>
      <w:bookmarkEnd w:id="3"/>
      <w:r w:rsidDel="00000000" w:rsidR="00000000" w:rsidRPr="00000000">
        <w:rPr>
          <w:rtl w:val="0"/>
        </w:rPr>
        <w:t xml:space="preserve">Artikel 3 - financiële verplichtingen</w:t>
      </w:r>
    </w:p>
    <w:p w:rsidR="00000000" w:rsidDel="00000000" w:rsidP="00000000" w:rsidRDefault="00000000" w:rsidRPr="00000000" w14:paraId="0000003A">
      <w:pPr>
        <w:spacing w:line="276" w:lineRule="auto"/>
        <w:ind w:left="0" w:firstLine="0"/>
        <w:rPr/>
      </w:pPr>
      <w:r w:rsidDel="00000000" w:rsidR="00000000" w:rsidRPr="00000000">
        <w:rPr>
          <w:rtl w:val="0"/>
        </w:rPr>
        <w:t xml:space="preserve">1</w:t>
      </w:r>
      <w:r w:rsidDel="00000000" w:rsidR="00000000" w:rsidRPr="00000000">
        <w:rPr>
          <w:rtl w:val="0"/>
        </w:rPr>
        <w:t xml:space="preserve">. De Protestantse Kerk in Nederland en/of enige (on)zelfstandig lichaam of onderdeel daarvan is niet verantwoordelijk voor enige financiële verplichting uit hoofde van de dienstbetrekking van de geestelijk verzorger, noch aansprakelijk voor de financiële gevolgen die schorsing of ontslag uit de dienstbetrekking, dan wel schorsing of ontheffing van of ontzetting uit het ambt of bediening heeft.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spacing w:line="276" w:lineRule="auto"/>
        <w:ind w:left="0" w:firstLine="0"/>
        <w:rPr/>
      </w:pPr>
      <w:bookmarkStart w:colFirst="0" w:colLast="0" w:name="_7nirbsihcrfa" w:id="4"/>
      <w:bookmarkEnd w:id="4"/>
      <w:r w:rsidDel="00000000" w:rsidR="00000000" w:rsidRPr="00000000">
        <w:rPr>
          <w:rtl w:val="0"/>
        </w:rPr>
        <w:t xml:space="preserve">Artikel 4 - tucht, verwikkelingen en geschillen</w:t>
      </w:r>
    </w:p>
    <w:p w:rsidR="00000000" w:rsidDel="00000000" w:rsidP="00000000" w:rsidRDefault="00000000" w:rsidRPr="00000000" w14:paraId="0000003D">
      <w:pPr>
        <w:spacing w:line="276" w:lineRule="auto"/>
        <w:ind w:left="0" w:firstLine="0"/>
        <w:rPr/>
      </w:pPr>
      <w:r w:rsidDel="00000000" w:rsidR="00000000" w:rsidRPr="00000000">
        <w:rPr>
          <w:rtl w:val="0"/>
        </w:rPr>
        <w:t xml:space="preserve">1</w:t>
      </w:r>
      <w:r w:rsidDel="00000000" w:rsidR="00000000" w:rsidRPr="00000000">
        <w:rPr>
          <w:rtl w:val="0"/>
        </w:rPr>
        <w:t xml:space="preserve">. Daar waar vanwege de Protestantse Kerk in Nederland een besluit wordt genomen ten aanzien van de geestelijk verzorger waarbij het ambt of bediening, en daarmee mogelijk de dienstbetrekking, van de geestelijk verzorger in het geding is of kan raken, is de geestelijk verzorger zelf gehouden dit te melden tegenover cliënten en instanties die bij die wetenschap belang hebben; op de ambtelijke vergadering of de kerk rust in dit verband generlei verplichting. Hieronder vallen onder andere schorsing, ontheffing van of ontzetting uit het ambt of bediening.</w:t>
      </w:r>
    </w:p>
    <w:p w:rsidR="00000000" w:rsidDel="00000000" w:rsidP="00000000" w:rsidRDefault="00000000" w:rsidRPr="00000000" w14:paraId="0000003E">
      <w:pPr>
        <w:spacing w:line="276" w:lineRule="auto"/>
        <w:ind w:left="0" w:firstLine="0"/>
        <w:rPr/>
      </w:pPr>
      <w:r w:rsidDel="00000000" w:rsidR="00000000" w:rsidRPr="00000000">
        <w:rPr>
          <w:rtl w:val="0"/>
        </w:rPr>
        <w:t xml:space="preserve">2. De geestelijk verzorger zal aan de ambtelijke vergadering onverwijld mededeling doen van schorsing of ontslag uit de dienstbetrekking of andere rechtspositionele verwikkelingen die de werkzaamheden van de geestelijk verzorger hinderen.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spacing w:line="276" w:lineRule="auto"/>
        <w:rPr/>
      </w:pPr>
      <w:bookmarkStart w:colFirst="0" w:colLast="0" w:name="_juqyweaokkzu" w:id="5"/>
      <w:bookmarkEnd w:id="5"/>
      <w:r w:rsidDel="00000000" w:rsidR="00000000" w:rsidRPr="00000000">
        <w:rPr>
          <w:rtl w:val="0"/>
        </w:rPr>
        <w:t xml:space="preserve">Artikel 5 - Ingangsdatum en aan te hechten documenten</w:t>
      </w:r>
    </w:p>
    <w:p w:rsidR="00000000" w:rsidDel="00000000" w:rsidP="00000000" w:rsidRDefault="00000000" w:rsidRPr="00000000" w14:paraId="00000041">
      <w:pPr>
        <w:spacing w:line="276" w:lineRule="auto"/>
        <w:rPr/>
      </w:pPr>
      <w:r w:rsidDel="00000000" w:rsidR="00000000" w:rsidRPr="00000000">
        <w:rPr>
          <w:rtl w:val="0"/>
        </w:rPr>
        <w:t xml:space="preserve">1. Deze regeling is gesloten onder de opschortende voorwaarde dat de geestelijk verzorger de in deze regeling bedoelde bijzondere opdracht conform de kerkordelijke regeling daartoe heeft ontvangen. De ambtelijke vergadering zal aan de partijen bij deze regeling melding maken zodra dit gereed is en de diverse aan te hechten documenten ter beschikking stellen.</w:t>
      </w:r>
    </w:p>
    <w:p w:rsidR="00000000" w:rsidDel="00000000" w:rsidP="00000000" w:rsidRDefault="00000000" w:rsidRPr="00000000" w14:paraId="00000042">
      <w:pPr>
        <w:spacing w:line="276" w:lineRule="auto"/>
        <w:ind w:left="0" w:firstLine="0"/>
        <w:rPr/>
      </w:pPr>
      <w:r w:rsidDel="00000000" w:rsidR="00000000" w:rsidRPr="00000000">
        <w:rPr>
          <w:rtl w:val="0"/>
        </w:rPr>
      </w:r>
    </w:p>
    <w:p w:rsidR="00000000" w:rsidDel="00000000" w:rsidP="00000000" w:rsidRDefault="00000000" w:rsidRPr="00000000" w14:paraId="00000043">
      <w:pPr>
        <w:pStyle w:val="Heading2"/>
        <w:spacing w:line="276" w:lineRule="auto"/>
        <w:rPr/>
      </w:pPr>
      <w:bookmarkStart w:colFirst="0" w:colLast="0" w:name="_kxwnrrty238p" w:id="6"/>
      <w:bookmarkEnd w:id="6"/>
      <w:r w:rsidDel="00000000" w:rsidR="00000000" w:rsidRPr="00000000">
        <w:rPr>
          <w:rtl w:val="0"/>
        </w:rPr>
        <w:t xml:space="preserve">Ondertekening</w:t>
      </w:r>
    </w:p>
    <w:p w:rsidR="00000000" w:rsidDel="00000000" w:rsidP="00000000" w:rsidRDefault="00000000" w:rsidRPr="00000000" w14:paraId="00000044">
      <w:pPr>
        <w:spacing w:line="276" w:lineRule="auto"/>
        <w:ind w:left="0" w:firstLine="0"/>
        <w:rPr/>
      </w:pPr>
      <w:r w:rsidDel="00000000" w:rsidR="00000000" w:rsidRPr="00000000">
        <w:rPr>
          <w:rtl w:val="0"/>
        </w:rPr>
        <w:t xml:space="preserve">aldus in veelvoud van partijen ondertekend en verspreid,</w:t>
      </w:r>
      <w:r w:rsidDel="00000000" w:rsidR="00000000" w:rsidRPr="00000000">
        <w:rPr>
          <w:rtl w:val="0"/>
        </w:rPr>
      </w:r>
    </w:p>
    <w:p w:rsidR="00000000" w:rsidDel="00000000" w:rsidP="00000000" w:rsidRDefault="00000000" w:rsidRPr="00000000" w14:paraId="00000045">
      <w:pPr>
        <w:spacing w:line="276" w:lineRule="auto"/>
        <w:ind w:left="0" w:firstLine="0"/>
        <w:rPr/>
      </w:pPr>
      <w:r w:rsidDel="00000000" w:rsidR="00000000" w:rsidRPr="00000000">
        <w:rPr>
          <w:rtl w:val="0"/>
        </w:rPr>
      </w:r>
    </w:p>
    <w:tbl>
      <w:tblPr>
        <w:tblStyle w:val="Table1"/>
        <w:tblW w:w="9405.0" w:type="dxa"/>
        <w:jc w:val="left"/>
        <w:tblInd w:w="-9.0000000000000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35"/>
        <w:gridCol w:w="3135"/>
        <w:tblGridChange w:id="0">
          <w:tblGrid>
            <w:gridCol w:w="3135"/>
            <w:gridCol w:w="3135"/>
            <w:gridCol w:w="3135"/>
          </w:tblGrid>
        </w:tblGridChange>
      </w:tblGrid>
      <w:tr>
        <w:trPr>
          <w:cantSplit w:val="0"/>
          <w:trHeight w:val="9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pPr>
            <w:r w:rsidDel="00000000" w:rsidR="00000000" w:rsidRPr="00000000">
              <w:rPr>
                <w:rtl w:val="0"/>
              </w:rPr>
            </w:r>
          </w:p>
        </w:tc>
      </w:tr>
      <w:tr>
        <w:trPr>
          <w:cantSplit w:val="0"/>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rPr/>
            </w:pPr>
            <w:r w:rsidDel="00000000" w:rsidR="00000000" w:rsidRPr="00000000">
              <w:rPr>
                <w:rtl w:val="0"/>
              </w:rPr>
              <w:t xml:space="preserve">Geestelijk verzorger</w:t>
            </w:r>
          </w:p>
          <w:p w:rsidR="00000000" w:rsidDel="00000000" w:rsidP="00000000" w:rsidRDefault="00000000" w:rsidRPr="00000000" w14:paraId="0000004C">
            <w:pPr>
              <w:widowControl w:val="0"/>
              <w:rPr/>
            </w:pPr>
            <w:r w:rsidDel="00000000" w:rsidR="00000000" w:rsidRPr="00000000">
              <w:rPr>
                <w:rtl w:val="0"/>
              </w:rPr>
              <w:t xml:space="preserve">datum:</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rPr/>
            </w:pPr>
            <w:r w:rsidDel="00000000" w:rsidR="00000000" w:rsidRPr="00000000">
              <w:rPr>
                <w:rtl w:val="0"/>
              </w:rPr>
              <w:t xml:space="preserve">Ambtelijke vergadering</w:t>
            </w:r>
          </w:p>
          <w:p w:rsidR="00000000" w:rsidDel="00000000" w:rsidP="00000000" w:rsidRDefault="00000000" w:rsidRPr="00000000" w14:paraId="0000004E">
            <w:pPr>
              <w:widowControl w:val="0"/>
              <w:rPr/>
            </w:pPr>
            <w:r w:rsidDel="00000000" w:rsidR="00000000" w:rsidRPr="00000000">
              <w:rPr>
                <w:rtl w:val="0"/>
              </w:rPr>
              <w:t xml:space="preserve">datum:</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rPr/>
            </w:pPr>
            <w:r w:rsidDel="00000000" w:rsidR="00000000" w:rsidRPr="00000000">
              <w:rPr>
                <w:rtl w:val="0"/>
              </w:rPr>
              <w:t xml:space="preserve">Het bestuur </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t xml:space="preserve">datum:</w:t>
            </w:r>
          </w:p>
        </w:tc>
      </w:tr>
    </w:tbl>
    <w:p w:rsidR="00000000" w:rsidDel="00000000" w:rsidP="00000000" w:rsidRDefault="00000000" w:rsidRPr="00000000" w14:paraId="00000051">
      <w:pPr>
        <w:ind w:left="1133.858267716535" w:hanging="566.9291338582675"/>
        <w:rPr/>
      </w:pPr>
      <w:r w:rsidDel="00000000" w:rsidR="00000000" w:rsidRPr="00000000">
        <w:br w:type="page"/>
      </w:r>
      <w:r w:rsidDel="00000000" w:rsidR="00000000" w:rsidRPr="00000000">
        <w:rPr>
          <w:rtl w:val="0"/>
        </w:rPr>
      </w:r>
    </w:p>
    <w:p w:rsidR="00000000" w:rsidDel="00000000" w:rsidP="00000000" w:rsidRDefault="00000000" w:rsidRPr="00000000" w14:paraId="00000052">
      <w:pPr>
        <w:ind w:left="1133.858267716535" w:hanging="566.9291338582675"/>
        <w:rPr/>
      </w:pPr>
      <w:r w:rsidDel="00000000" w:rsidR="00000000" w:rsidRPr="00000000">
        <w:rPr>
          <w:rtl w:val="0"/>
        </w:rPr>
      </w:r>
    </w:p>
    <w:p w:rsidR="00000000" w:rsidDel="00000000" w:rsidP="00000000" w:rsidRDefault="00000000" w:rsidRPr="00000000" w14:paraId="00000053">
      <w:pPr>
        <w:spacing w:line="276" w:lineRule="auto"/>
        <w:ind w:left="1131" w:firstLine="0"/>
        <w:rPr>
          <w:b w:val="1"/>
        </w:rPr>
      </w:pPr>
      <w:r w:rsidDel="00000000" w:rsidR="00000000" w:rsidRPr="00000000">
        <w:rPr>
          <w:b w:val="1"/>
          <w:rtl w:val="0"/>
        </w:rPr>
        <w:t xml:space="preserve">BIJLAGE I - Nadere omschrijving van het werk</w:t>
      </w:r>
    </w:p>
    <w:p w:rsidR="00000000" w:rsidDel="00000000" w:rsidP="00000000" w:rsidRDefault="00000000" w:rsidRPr="00000000" w14:paraId="00000054">
      <w:pPr>
        <w:spacing w:line="276" w:lineRule="auto"/>
        <w:ind w:left="1131" w:firstLine="0"/>
        <w:rPr>
          <w:b w:val="1"/>
        </w:rPr>
      </w:pPr>
      <w:r w:rsidDel="00000000" w:rsidR="00000000" w:rsidRPr="00000000">
        <w:rPr>
          <w:rtl w:val="0"/>
        </w:rPr>
      </w:r>
    </w:p>
    <w:tbl>
      <w:tblPr>
        <w:tblStyle w:val="Table2"/>
        <w:tblW w:w="8791.0" w:type="dxa"/>
        <w:jc w:val="left"/>
        <w:tblInd w:w="113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1"/>
        <w:tblGridChange w:id="0">
          <w:tblGrid>
            <w:gridCol w:w="8791"/>
          </w:tblGrid>
        </w:tblGridChange>
      </w:tblGrid>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55">
            <w:pPr>
              <w:widowControl w:val="0"/>
              <w:rPr>
                <w:b w:val="1"/>
              </w:rPr>
            </w:pPr>
            <w:r w:rsidDel="00000000" w:rsidR="00000000" w:rsidRPr="00000000">
              <w:rPr>
                <w:b w:val="1"/>
                <w:rtl w:val="0"/>
              </w:rPr>
              <w:t xml:space="preserve">[ruimte voor omschrijving van werkzaamheden]</w:t>
            </w:r>
          </w:p>
          <w:p w:rsidR="00000000" w:rsidDel="00000000" w:rsidP="00000000" w:rsidRDefault="00000000" w:rsidRPr="00000000" w14:paraId="00000056">
            <w:pPr>
              <w:widowControl w:val="0"/>
              <w:rPr>
                <w:b w:val="1"/>
              </w:rPr>
            </w:pPr>
            <w:r w:rsidDel="00000000" w:rsidR="00000000" w:rsidRPr="00000000">
              <w:rPr>
                <w:rtl w:val="0"/>
              </w:rPr>
            </w:r>
          </w:p>
          <w:p w:rsidR="00000000" w:rsidDel="00000000" w:rsidP="00000000" w:rsidRDefault="00000000" w:rsidRPr="00000000" w14:paraId="00000057">
            <w:pPr>
              <w:widowControl w:val="0"/>
              <w:rPr>
                <w:b w:val="1"/>
              </w:rPr>
            </w:pPr>
            <w:r w:rsidDel="00000000" w:rsidR="00000000" w:rsidRPr="00000000">
              <w:rPr>
                <w:rtl w:val="0"/>
              </w:rPr>
            </w:r>
          </w:p>
          <w:p w:rsidR="00000000" w:rsidDel="00000000" w:rsidP="00000000" w:rsidRDefault="00000000" w:rsidRPr="00000000" w14:paraId="00000058">
            <w:pPr>
              <w:widowControl w:val="0"/>
              <w:rPr>
                <w:b w:val="1"/>
              </w:rPr>
            </w:pPr>
            <w:r w:rsidDel="00000000" w:rsidR="00000000" w:rsidRPr="00000000">
              <w:rPr>
                <w:rtl w:val="0"/>
              </w:rPr>
            </w:r>
          </w:p>
          <w:p w:rsidR="00000000" w:rsidDel="00000000" w:rsidP="00000000" w:rsidRDefault="00000000" w:rsidRPr="00000000" w14:paraId="00000059">
            <w:pPr>
              <w:widowControl w:val="0"/>
              <w:rPr>
                <w:b w:val="1"/>
              </w:rPr>
            </w:pPr>
            <w:r w:rsidDel="00000000" w:rsidR="00000000" w:rsidRPr="00000000">
              <w:rPr>
                <w:rtl w:val="0"/>
              </w:rPr>
            </w:r>
          </w:p>
          <w:p w:rsidR="00000000" w:rsidDel="00000000" w:rsidP="00000000" w:rsidRDefault="00000000" w:rsidRPr="00000000" w14:paraId="0000005A">
            <w:pPr>
              <w:widowControl w:val="0"/>
              <w:rPr>
                <w:b w:val="1"/>
              </w:rPr>
            </w:pPr>
            <w:r w:rsidDel="00000000" w:rsidR="00000000" w:rsidRPr="00000000">
              <w:rPr>
                <w:rtl w:val="0"/>
              </w:rPr>
            </w:r>
          </w:p>
          <w:p w:rsidR="00000000" w:rsidDel="00000000" w:rsidP="00000000" w:rsidRDefault="00000000" w:rsidRPr="00000000" w14:paraId="0000005B">
            <w:pPr>
              <w:widowControl w:val="0"/>
              <w:rPr>
                <w:b w:val="1"/>
              </w:rPr>
            </w:pPr>
            <w:r w:rsidDel="00000000" w:rsidR="00000000" w:rsidRPr="00000000">
              <w:rPr>
                <w:rtl w:val="0"/>
              </w:rPr>
            </w:r>
          </w:p>
          <w:p w:rsidR="00000000" w:rsidDel="00000000" w:rsidP="00000000" w:rsidRDefault="00000000" w:rsidRPr="00000000" w14:paraId="0000005C">
            <w:pPr>
              <w:widowControl w:val="0"/>
              <w:rPr>
                <w:b w:val="1"/>
              </w:rPr>
            </w:pPr>
            <w:r w:rsidDel="00000000" w:rsidR="00000000" w:rsidRPr="00000000">
              <w:rPr>
                <w:rtl w:val="0"/>
              </w:rPr>
            </w:r>
          </w:p>
          <w:p w:rsidR="00000000" w:rsidDel="00000000" w:rsidP="00000000" w:rsidRDefault="00000000" w:rsidRPr="00000000" w14:paraId="0000005D">
            <w:pPr>
              <w:widowControl w:val="0"/>
              <w:rPr>
                <w:b w:val="1"/>
              </w:rPr>
            </w:pPr>
            <w:r w:rsidDel="00000000" w:rsidR="00000000" w:rsidRPr="00000000">
              <w:rPr>
                <w:rtl w:val="0"/>
              </w:rPr>
            </w:r>
          </w:p>
          <w:p w:rsidR="00000000" w:rsidDel="00000000" w:rsidP="00000000" w:rsidRDefault="00000000" w:rsidRPr="00000000" w14:paraId="0000005E">
            <w:pPr>
              <w:widowControl w:val="0"/>
              <w:rPr>
                <w:b w:val="1"/>
              </w:rPr>
            </w:pPr>
            <w:r w:rsidDel="00000000" w:rsidR="00000000" w:rsidRPr="00000000">
              <w:rPr>
                <w:rtl w:val="0"/>
              </w:rPr>
            </w:r>
          </w:p>
          <w:p w:rsidR="00000000" w:rsidDel="00000000" w:rsidP="00000000" w:rsidRDefault="00000000" w:rsidRPr="00000000" w14:paraId="0000005F">
            <w:pPr>
              <w:widowControl w:val="0"/>
              <w:rPr>
                <w:b w:val="1"/>
              </w:rPr>
            </w:pPr>
            <w:r w:rsidDel="00000000" w:rsidR="00000000" w:rsidRPr="00000000">
              <w:rPr>
                <w:rtl w:val="0"/>
              </w:rPr>
            </w:r>
          </w:p>
          <w:p w:rsidR="00000000" w:rsidDel="00000000" w:rsidP="00000000" w:rsidRDefault="00000000" w:rsidRPr="00000000" w14:paraId="00000060">
            <w:pPr>
              <w:widowControl w:val="0"/>
              <w:rPr>
                <w:b w:val="1"/>
              </w:rPr>
            </w:pPr>
            <w:r w:rsidDel="00000000" w:rsidR="00000000" w:rsidRPr="00000000">
              <w:rPr>
                <w:rtl w:val="0"/>
              </w:rPr>
            </w:r>
          </w:p>
        </w:tc>
      </w:tr>
    </w:tbl>
    <w:p w:rsidR="00000000" w:rsidDel="00000000" w:rsidP="00000000" w:rsidRDefault="00000000" w:rsidRPr="00000000" w14:paraId="00000061">
      <w:pPr>
        <w:spacing w:line="276" w:lineRule="auto"/>
        <w:ind w:left="1131" w:firstLine="0"/>
        <w:rPr>
          <w:b w:val="1"/>
        </w:rPr>
      </w:pPr>
      <w:r w:rsidDel="00000000" w:rsidR="00000000" w:rsidRPr="00000000">
        <w:rPr>
          <w:rtl w:val="0"/>
        </w:rPr>
      </w:r>
    </w:p>
    <w:p w:rsidR="00000000" w:rsidDel="00000000" w:rsidP="00000000" w:rsidRDefault="00000000" w:rsidRPr="00000000" w14:paraId="00000062">
      <w:pPr>
        <w:spacing w:line="276" w:lineRule="auto"/>
        <w:ind w:left="1131" w:firstLine="0"/>
        <w:rPr>
          <w:b w:val="1"/>
        </w:rPr>
      </w:pPr>
      <w:r w:rsidDel="00000000" w:rsidR="00000000" w:rsidRPr="00000000">
        <w:rPr>
          <w:rtl w:val="0"/>
        </w:rPr>
      </w:r>
    </w:p>
    <w:tbl>
      <w:tblPr>
        <w:tblStyle w:val="Table3"/>
        <w:tblW w:w="8791.0" w:type="dxa"/>
        <w:jc w:val="left"/>
        <w:tblInd w:w="113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5"/>
        <w:gridCol w:w="4396"/>
        <w:tblGridChange w:id="0">
          <w:tblGrid>
            <w:gridCol w:w="4395"/>
            <w:gridCol w:w="43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b w:val="1"/>
              </w:rPr>
            </w:pPr>
            <w:r w:rsidDel="00000000" w:rsidR="00000000" w:rsidRPr="00000000">
              <w:rPr>
                <w:b w:val="1"/>
                <w:rtl w:val="0"/>
              </w:rPr>
              <w:t xml:space="preserve">Werkend bij externe instelling of partij, dan wel in eerstelijns verzorging (geestelijke verzorging thuis)</w:t>
            </w:r>
          </w:p>
        </w:tc>
        <w:tc>
          <w:tcPr>
            <w:shd w:fill="f3f3f3" w:val="clear"/>
            <w:tcMar>
              <w:top w:w="100.0" w:type="dxa"/>
              <w:left w:w="100.0" w:type="dxa"/>
              <w:bottom w:w="100.0" w:type="dxa"/>
              <w:right w:w="100.0" w:type="dxa"/>
            </w:tcMar>
          </w:tcPr>
          <w:p w:rsidR="00000000" w:rsidDel="00000000" w:rsidP="00000000" w:rsidRDefault="00000000" w:rsidRPr="00000000" w14:paraId="00000064">
            <w:pPr>
              <w:widowControl w:val="0"/>
              <w:rPr/>
            </w:pPr>
            <w:r w:rsidDel="00000000" w:rsidR="00000000" w:rsidRPr="00000000">
              <w:rPr>
                <w:rtl w:val="0"/>
              </w:rPr>
              <w:t xml:space="preserve">☐ Via een instelling: [naam, locatie]</w:t>
            </w:r>
          </w:p>
          <w:p w:rsidR="00000000" w:rsidDel="00000000" w:rsidP="00000000" w:rsidRDefault="00000000" w:rsidRPr="00000000" w14:paraId="00000065">
            <w:pPr>
              <w:widowControl w:val="0"/>
              <w:rPr/>
            </w:pPr>
            <w:r w:rsidDel="00000000" w:rsidR="00000000" w:rsidRPr="00000000">
              <w:rPr>
                <w:rtl w:val="0"/>
              </w:rPr>
              <w:t xml:space="preserve">☐ Via eerstelijns verzorging (geestelijke verzorging thuis)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b w:val="1"/>
              </w:rPr>
            </w:pPr>
            <w:r w:rsidDel="00000000" w:rsidR="00000000" w:rsidRPr="00000000">
              <w:rPr>
                <w:b w:val="1"/>
                <w:rtl w:val="0"/>
              </w:rPr>
              <w:t xml:space="preserve">Aantal uren/week</w:t>
            </w:r>
          </w:p>
        </w:tc>
        <w:tc>
          <w:tcPr>
            <w:shd w:fill="f3f3f3" w:val="clear"/>
            <w:tcMar>
              <w:top w:w="100.0" w:type="dxa"/>
              <w:left w:w="100.0" w:type="dxa"/>
              <w:bottom w:w="100.0" w:type="dxa"/>
              <w:right w:w="100.0" w:type="dxa"/>
            </w:tcMar>
          </w:tcPr>
          <w:p w:rsidR="00000000" w:rsidDel="00000000" w:rsidP="00000000" w:rsidRDefault="00000000" w:rsidRPr="00000000" w14:paraId="00000067">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b w:val="1"/>
              </w:rPr>
            </w:pPr>
            <w:r w:rsidDel="00000000" w:rsidR="00000000" w:rsidRPr="00000000">
              <w:rPr>
                <w:b w:val="1"/>
                <w:rtl w:val="0"/>
              </w:rPr>
              <w:t xml:space="preserve">PE</w:t>
            </w:r>
            <w:r w:rsidDel="00000000" w:rsidR="00000000" w:rsidRPr="00000000">
              <w:rPr>
                <w:b w:val="1"/>
                <w:vertAlign w:val="superscript"/>
              </w:rPr>
              <w:footnoteReference w:customMarkFollows="0" w:id="3"/>
            </w:r>
            <w:r w:rsidDel="00000000" w:rsidR="00000000" w:rsidRPr="00000000">
              <w:rPr>
                <w:b w:val="1"/>
                <w:rtl w:val="0"/>
              </w:rPr>
              <w:t xml:space="preserve"> van de kerk</w:t>
            </w:r>
          </w:p>
        </w:tc>
        <w:tc>
          <w:tcPr>
            <w:shd w:fill="f3f3f3" w:val="clear"/>
            <w:tcMar>
              <w:top w:w="100.0" w:type="dxa"/>
              <w:left w:w="100.0" w:type="dxa"/>
              <w:bottom w:w="100.0" w:type="dxa"/>
              <w:right w:w="100.0" w:type="dxa"/>
            </w:tcMar>
          </w:tcPr>
          <w:p w:rsidR="00000000" w:rsidDel="00000000" w:rsidP="00000000" w:rsidRDefault="00000000" w:rsidRPr="00000000" w14:paraId="00000069">
            <w:pPr>
              <w:widowControl w:val="0"/>
              <w:rPr/>
            </w:pPr>
            <w:r w:rsidDel="00000000" w:rsidR="00000000" w:rsidRPr="00000000">
              <w:rPr>
                <w:rtl w:val="0"/>
              </w:rPr>
              <w:t xml:space="preserve">Wel/Niet</w:t>
            </w:r>
          </w:p>
          <w:p w:rsidR="00000000" w:rsidDel="00000000" w:rsidP="00000000" w:rsidRDefault="00000000" w:rsidRPr="00000000" w14:paraId="0000006A">
            <w:pPr>
              <w:widowControl w:val="0"/>
              <w:rPr/>
            </w:pPr>
            <w:r w:rsidDel="00000000" w:rsidR="00000000" w:rsidRPr="00000000">
              <w:rPr>
                <w:rtl w:val="0"/>
              </w:rPr>
              <w:t xml:space="preserve">Zo ja, aantal uur/week: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b w:val="1"/>
              </w:rPr>
            </w:pPr>
            <w:r w:rsidDel="00000000" w:rsidR="00000000" w:rsidRPr="00000000">
              <w:rPr>
                <w:b w:val="1"/>
                <w:rtl w:val="0"/>
              </w:rPr>
              <w:t xml:space="preserve">PE anderzins</w:t>
            </w:r>
          </w:p>
        </w:tc>
        <w:tc>
          <w:tcPr>
            <w:shd w:fill="f3f3f3" w:val="clear"/>
            <w:tcMar>
              <w:top w:w="100.0" w:type="dxa"/>
              <w:left w:w="100.0" w:type="dxa"/>
              <w:bottom w:w="100.0" w:type="dxa"/>
              <w:right w:w="100.0" w:type="dxa"/>
            </w:tcMar>
          </w:tcPr>
          <w:p w:rsidR="00000000" w:rsidDel="00000000" w:rsidP="00000000" w:rsidRDefault="00000000" w:rsidRPr="00000000" w14:paraId="0000006C">
            <w:pPr>
              <w:widowControl w:val="0"/>
              <w:rPr/>
            </w:pPr>
            <w:r w:rsidDel="00000000" w:rsidR="00000000" w:rsidRPr="00000000">
              <w:rPr>
                <w:rtl w:val="0"/>
              </w:rPr>
              <w:t xml:space="preserve">Wel/Niet</w:t>
            </w:r>
          </w:p>
          <w:p w:rsidR="00000000" w:rsidDel="00000000" w:rsidP="00000000" w:rsidRDefault="00000000" w:rsidRPr="00000000" w14:paraId="0000006D">
            <w:pPr>
              <w:widowControl w:val="0"/>
              <w:rPr/>
            </w:pPr>
            <w:r w:rsidDel="00000000" w:rsidR="00000000" w:rsidRPr="00000000">
              <w:rPr>
                <w:rtl w:val="0"/>
              </w:rPr>
              <w:t xml:space="preserve">Zo ja, aantal uur/week: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b w:val="1"/>
              </w:rPr>
            </w:pPr>
            <w:r w:rsidDel="00000000" w:rsidR="00000000" w:rsidRPr="00000000">
              <w:rPr>
                <w:b w:val="1"/>
                <w:rtl w:val="0"/>
              </w:rPr>
              <w:t xml:space="preserve">Kerkdiensten</w:t>
            </w:r>
          </w:p>
        </w:tc>
        <w:tc>
          <w:tcPr>
            <w:shd w:fill="f3f3f3" w:val="clear"/>
            <w:tcMar>
              <w:top w:w="100.0" w:type="dxa"/>
              <w:left w:w="100.0" w:type="dxa"/>
              <w:bottom w:w="100.0" w:type="dxa"/>
              <w:right w:w="100.0" w:type="dxa"/>
            </w:tcMar>
          </w:tcPr>
          <w:p w:rsidR="00000000" w:rsidDel="00000000" w:rsidP="00000000" w:rsidRDefault="00000000" w:rsidRPr="00000000" w14:paraId="0000006F">
            <w:pPr>
              <w:widowControl w:val="0"/>
              <w:rPr/>
            </w:pPr>
            <w:r w:rsidDel="00000000" w:rsidR="00000000" w:rsidRPr="00000000">
              <w:rPr>
                <w:rtl w:val="0"/>
              </w:rPr>
              <w:t xml:space="preserve">Wel/Niet</w:t>
            </w:r>
          </w:p>
          <w:p w:rsidR="00000000" w:rsidDel="00000000" w:rsidP="00000000" w:rsidRDefault="00000000" w:rsidRPr="00000000" w14:paraId="00000070">
            <w:pPr>
              <w:widowControl w:val="0"/>
              <w:rPr>
                <w:b w:val="1"/>
              </w:rPr>
            </w:pPr>
            <w:r w:rsidDel="00000000" w:rsidR="00000000" w:rsidRPr="00000000">
              <w:rPr>
                <w:rtl w:val="0"/>
              </w:rPr>
              <w:t xml:space="preserve">Zo ja, betrokken kerkgemeente: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b w:val="1"/>
              </w:rPr>
            </w:pPr>
            <w:r w:rsidDel="00000000" w:rsidR="00000000" w:rsidRPr="00000000">
              <w:rPr>
                <w:b w:val="1"/>
                <w:rtl w:val="0"/>
              </w:rPr>
              <w:t xml:space="preserve">Onderhouden binding ambtelijke vergadering</w:t>
            </w:r>
          </w:p>
          <w:p w:rsidR="00000000" w:rsidDel="00000000" w:rsidP="00000000" w:rsidRDefault="00000000" w:rsidRPr="00000000" w14:paraId="00000072">
            <w:pPr>
              <w:widowControl w:val="0"/>
              <w:rPr>
                <w:b w:val="1"/>
              </w:rPr>
            </w:pPr>
            <w:r w:rsidDel="00000000" w:rsidR="00000000" w:rsidRPr="00000000">
              <w:rPr>
                <w:b w:val="1"/>
                <w:rtl w:val="0"/>
              </w:rPr>
              <w:t xml:space="preserve">(bijwonen kerkenraadsvergaderingen en begeleidingscommissie)</w:t>
            </w:r>
          </w:p>
        </w:tc>
        <w:tc>
          <w:tcPr>
            <w:shd w:fill="f3f3f3" w:val="clear"/>
            <w:tcMar>
              <w:top w:w="100.0" w:type="dxa"/>
              <w:left w:w="100.0" w:type="dxa"/>
              <w:bottom w:w="100.0" w:type="dxa"/>
              <w:right w:w="100.0" w:type="dxa"/>
            </w:tcMar>
          </w:tcPr>
          <w:p w:rsidR="00000000" w:rsidDel="00000000" w:rsidP="00000000" w:rsidRDefault="00000000" w:rsidRPr="00000000" w14:paraId="00000073">
            <w:pPr>
              <w:widowControl w:val="0"/>
              <w:rPr/>
            </w:pPr>
            <w:r w:rsidDel="00000000" w:rsidR="00000000" w:rsidRPr="00000000">
              <w:rPr>
                <w:rtl w:val="0"/>
              </w:rPr>
              <w:t xml:space="preserve">Aantal uur/jaar:</w:t>
            </w:r>
          </w:p>
        </w:tc>
      </w:tr>
    </w:tbl>
    <w:p w:rsidR="00000000" w:rsidDel="00000000" w:rsidP="00000000" w:rsidRDefault="00000000" w:rsidRPr="00000000" w14:paraId="00000074">
      <w:pPr>
        <w:spacing w:line="276" w:lineRule="auto"/>
        <w:ind w:left="1131" w:firstLine="0"/>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850.3937007874016" w:top="850.3937007874016" w:left="1133.8582677165355" w:right="1415.6692913385832"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tbl>
    <w:tblPr>
      <w:tblStyle w:val="Table5"/>
      <w:tblW w:w="10095.0" w:type="dxa"/>
      <w:jc w:val="left"/>
      <w:tblInd w:w="-1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gridCol w:w="4215"/>
      <w:tblGridChange w:id="0">
        <w:tblGrid>
          <w:gridCol w:w="5880"/>
          <w:gridCol w:w="4215"/>
        </w:tblGrid>
      </w:tblGridChange>
    </w:tblGrid>
    <w:tr>
      <w:trPr>
        <w:cantSplit w:val="0"/>
        <w:trHeight w:val="5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F">
          <w:pPr>
            <w:pageBreakBefore w:val="0"/>
            <w:widowControl w:val="0"/>
            <w:spacing w:line="240" w:lineRule="auto"/>
            <w:ind w:left="992.1259842519685" w:firstLine="0"/>
            <w:rPr/>
          </w:pPr>
          <w:r w:rsidDel="00000000" w:rsidR="00000000" w:rsidRPr="00000000">
            <w:rPr/>
            <w:drawing>
              <wp:inline distB="114300" distT="114300" distL="114300" distR="114300">
                <wp:extent cx="2272575" cy="409575"/>
                <wp:effectExtent b="0" l="0" r="0" t="0"/>
                <wp:docPr id="2" name="image4.png"/>
                <a:graphic>
                  <a:graphicData uri="http://schemas.openxmlformats.org/drawingml/2006/picture">
                    <pic:pic>
                      <pic:nvPicPr>
                        <pic:cNvPr id="0" name="image4.png"/>
                        <pic:cNvPicPr preferRelativeResize="0"/>
                      </pic:nvPicPr>
                      <pic:blipFill>
                        <a:blip r:embed="rId1"/>
                        <a:srcRect b="0" l="26779" r="0" t="0"/>
                        <a:stretch>
                          <a:fillRect/>
                        </a:stretch>
                      </pic:blipFill>
                      <pic:spPr>
                        <a:xfrm>
                          <a:off x="0" y="0"/>
                          <a:ext cx="2272575" cy="409575"/>
                        </a:xfrm>
                        <a:prstGeom prst="rect"/>
                        <a:ln/>
                      </pic:spPr>
                    </pic:pic>
                  </a:graphicData>
                </a:graphic>
              </wp:inline>
            </w:drawing>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0">
          <w:pPr>
            <w:widowControl w:val="0"/>
            <w:spacing w:after="20" w:line="240" w:lineRule="auto"/>
            <w:jc w:val="right"/>
            <w:rPr>
              <w:color w:val="434343"/>
              <w:sz w:val="14"/>
              <w:szCs w:val="14"/>
            </w:rPr>
          </w:pPr>
          <w:r w:rsidDel="00000000" w:rsidR="00000000" w:rsidRPr="00000000">
            <w:rPr>
              <w:rtl w:val="0"/>
            </w:rPr>
          </w:r>
        </w:p>
        <w:p w:rsidR="00000000" w:rsidDel="00000000" w:rsidP="00000000" w:rsidRDefault="00000000" w:rsidRPr="00000000" w14:paraId="00000081">
          <w:pPr>
            <w:widowControl w:val="0"/>
            <w:spacing w:after="20" w:line="240" w:lineRule="auto"/>
            <w:jc w:val="right"/>
            <w:rPr>
              <w:color w:val="434343"/>
              <w:sz w:val="14"/>
              <w:szCs w:val="14"/>
            </w:rPr>
          </w:pPr>
          <w:r w:rsidDel="00000000" w:rsidR="00000000" w:rsidRPr="00000000">
            <w:rPr>
              <w:rtl w:val="0"/>
            </w:rPr>
          </w:r>
        </w:p>
        <w:p w:rsidR="00000000" w:rsidDel="00000000" w:rsidP="00000000" w:rsidRDefault="00000000" w:rsidRPr="00000000" w14:paraId="00000082">
          <w:pPr>
            <w:widowControl w:val="0"/>
            <w:spacing w:after="20" w:line="240" w:lineRule="auto"/>
            <w:jc w:val="right"/>
            <w:rPr/>
          </w:pPr>
          <w:r w:rsidDel="00000000" w:rsidR="00000000" w:rsidRPr="00000000">
            <w:rPr>
              <w:color w:val="434343"/>
              <w:sz w:val="14"/>
              <w:szCs w:val="14"/>
              <w:rtl w:val="0"/>
            </w:rPr>
            <w:t xml:space="preserve">Pagina </w:t>
          </w:r>
          <w:r w:rsidDel="00000000" w:rsidR="00000000" w:rsidRPr="00000000">
            <w:rPr>
              <w:color w:val="434343"/>
              <w:sz w:val="14"/>
              <w:szCs w:val="14"/>
            </w:rPr>
            <w:fldChar w:fldCharType="begin"/>
            <w:instrText xml:space="preserve">PAGE</w:instrText>
            <w:fldChar w:fldCharType="separate"/>
            <w:fldChar w:fldCharType="end"/>
          </w:r>
          <w:r w:rsidDel="00000000" w:rsidR="00000000" w:rsidRPr="00000000">
            <w:rPr>
              <w:color w:val="434343"/>
              <w:sz w:val="18"/>
              <w:szCs w:val="18"/>
              <w:rtl w:val="0"/>
            </w:rPr>
            <w:t xml:space="preserve"> </w:t>
          </w:r>
          <w:r w:rsidDel="00000000" w:rsidR="00000000" w:rsidRPr="00000000">
            <w:rPr>
              <w:rtl w:val="0"/>
            </w:rPr>
          </w:r>
        </w:p>
      </w:tc>
    </w:tr>
  </w:tbl>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375.0" w:type="dxa"/>
      <w:jc w:val="left"/>
      <w:tblInd w:w="-345.0" w:type="dxa"/>
      <w:tblLayout w:type="fixed"/>
      <w:tblLook w:val="0600"/>
    </w:tblPr>
    <w:tblGrid>
      <w:gridCol w:w="7155"/>
      <w:gridCol w:w="2220"/>
      <w:tblGridChange w:id="0">
        <w:tblGrid>
          <w:gridCol w:w="7155"/>
          <w:gridCol w:w="2220"/>
        </w:tblGrid>
      </w:tblGridChange>
    </w:tblGrid>
    <w:tr>
      <w:trPr>
        <w:cantSplit w:val="0"/>
        <w:trHeight w:val="66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7">
          <w:pPr>
            <w:pageBreakBefore w:val="0"/>
            <w:widowControl w:val="0"/>
            <w:spacing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A">
      <w:pPr>
        <w:rPr/>
      </w:pPr>
      <w:r w:rsidDel="00000000" w:rsidR="00000000" w:rsidRPr="00000000">
        <w:rPr>
          <w:rStyle w:val="FootnoteReference"/>
          <w:vertAlign w:val="superscript"/>
        </w:rPr>
        <w:footnoteRef/>
      </w:r>
      <w:r w:rsidDel="00000000" w:rsidR="00000000" w:rsidRPr="00000000">
        <w:rPr>
          <w:rtl w:val="0"/>
        </w:rPr>
        <w:t xml:space="preserve"> Verwijderen indien niet van toepassing.</w:t>
      </w:r>
    </w:p>
  </w:footnote>
  <w:footnote w:id="1">
    <w:p w:rsidR="00000000" w:rsidDel="00000000" w:rsidP="00000000" w:rsidRDefault="00000000" w:rsidRPr="00000000" w14:paraId="0000008B">
      <w:pPr>
        <w:rPr/>
      </w:pPr>
      <w:r w:rsidDel="00000000" w:rsidR="00000000" w:rsidRPr="00000000">
        <w:rPr>
          <w:rStyle w:val="FootnoteReference"/>
          <w:vertAlign w:val="superscript"/>
        </w:rPr>
        <w:footnoteRef/>
      </w:r>
      <w:r w:rsidDel="00000000" w:rsidR="00000000" w:rsidRPr="00000000">
        <w:rPr>
          <w:rtl w:val="0"/>
        </w:rPr>
        <w:t xml:space="preserve"> Hieronder mede begrepen aanvullende eisen met betrekking tot geestelijke verzorging in de eerste lijn (geestelijke verzorging thuis).</w:t>
      </w:r>
    </w:p>
  </w:footnote>
  <w:footnote w:id="3">
    <w:p w:rsidR="00000000" w:rsidDel="00000000" w:rsidP="00000000" w:rsidRDefault="00000000" w:rsidRPr="00000000" w14:paraId="0000008C">
      <w:pPr>
        <w:rPr/>
      </w:pPr>
      <w:r w:rsidDel="00000000" w:rsidR="00000000" w:rsidRPr="00000000">
        <w:rPr>
          <w:rStyle w:val="FootnoteReference"/>
          <w:vertAlign w:val="superscript"/>
        </w:rPr>
        <w:footnoteRef/>
      </w:r>
      <w:r w:rsidDel="00000000" w:rsidR="00000000" w:rsidRPr="00000000">
        <w:rPr>
          <w:rtl w:val="0"/>
        </w:rPr>
        <w:t xml:space="preserve"> Permanente educatie. Gelet op generale regeling 15 is de kerkelijke PE ook van toepassing op predikanten en kerkelijk werkers met een bijzondere opdracht voor wat betreft de eerste twee fasen: het mentoraat en de primaire nascholing.</w:t>
      </w:r>
    </w:p>
  </w:footnote>
  <w:footnote w:id="2">
    <w:p w:rsidR="00000000" w:rsidDel="00000000" w:rsidP="00000000" w:rsidRDefault="00000000" w:rsidRPr="00000000" w14:paraId="0000008D">
      <w:pPr>
        <w:rPr/>
      </w:pPr>
      <w:r w:rsidDel="00000000" w:rsidR="00000000" w:rsidRPr="00000000">
        <w:rPr>
          <w:rStyle w:val="FootnoteReference"/>
          <w:vertAlign w:val="superscript"/>
        </w:rPr>
        <w:footnoteRef/>
      </w:r>
      <w:r w:rsidDel="00000000" w:rsidR="00000000" w:rsidRPr="00000000">
        <w:rPr>
          <w:rtl w:val="0"/>
        </w:rPr>
        <w:t xml:space="preserve"> indien van toepassing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sz w:val="2"/>
        <w:szCs w:val="2"/>
      </w:rPr>
    </w:pPr>
    <w:r w:rsidDel="00000000" w:rsidR="00000000" w:rsidRPr="00000000">
      <w:rPr>
        <w:rtl w:val="0"/>
      </w:rPr>
    </w:r>
  </w:p>
  <w:tbl>
    <w:tblPr>
      <w:tblStyle w:val="Table4"/>
      <w:tblW w:w="10935.0" w:type="dxa"/>
      <w:jc w:val="left"/>
      <w:tblInd w:w="-6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740"/>
      <w:gridCol w:w="1425"/>
      <w:gridCol w:w="1695"/>
      <w:gridCol w:w="1695"/>
      <w:gridCol w:w="1140"/>
      <w:gridCol w:w="2040"/>
      <w:gridCol w:w="1200"/>
      <w:tblGridChange w:id="0">
        <w:tblGrid>
          <w:gridCol w:w="1740"/>
          <w:gridCol w:w="1425"/>
          <w:gridCol w:w="1695"/>
          <w:gridCol w:w="1695"/>
          <w:gridCol w:w="1140"/>
          <w:gridCol w:w="2040"/>
          <w:gridCol w:w="1200"/>
        </w:tblGrid>
      </w:tblGridChange>
    </w:tblGrid>
    <w:tr>
      <w:trPr>
        <w:cantSplit w:val="0"/>
        <w:tblHeader w:val="0"/>
      </w:trPr>
      <w:tc>
        <w:tcPr>
          <w:gridSpan w:val="7"/>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6">
          <w:pPr>
            <w:widowControl w:val="0"/>
            <w:spacing w:line="240" w:lineRule="auto"/>
            <w:rPr>
              <w:sz w:val="2"/>
              <w:szCs w:val="2"/>
            </w:rPr>
          </w:pPr>
          <w:r w:rsidDel="00000000" w:rsidR="00000000" w:rsidRPr="00000000">
            <w:rPr/>
            <w:drawing>
              <wp:inline distB="114300" distT="114300" distL="114300" distR="114300">
                <wp:extent cx="3044756" cy="1099495"/>
                <wp:effectExtent b="0" l="0" r="0" t="0"/>
                <wp:docPr descr="Logo-Protestantse-Kerk-kleur.png" id="4" name="image1.png"/>
                <a:graphic>
                  <a:graphicData uri="http://schemas.openxmlformats.org/drawingml/2006/picture">
                    <pic:pic>
                      <pic:nvPicPr>
                        <pic:cNvPr descr="Logo-Protestantse-Kerk-kleur.png" id="0" name="image1.png"/>
                        <pic:cNvPicPr preferRelativeResize="0"/>
                      </pic:nvPicPr>
                      <pic:blipFill>
                        <a:blip r:embed="rId1"/>
                        <a:srcRect b="0" l="0" r="0" t="0"/>
                        <a:stretch>
                          <a:fillRect/>
                        </a:stretch>
                      </pic:blipFill>
                      <pic:spPr>
                        <a:xfrm>
                          <a:off x="0" y="0"/>
                          <a:ext cx="3044756" cy="10994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D">
    <w:pPr>
      <w:rPr>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anchor allowOverlap="1" behindDoc="1" distB="114300" distT="114300" distL="114300" distR="114300" hidden="0" layoutInCell="1" locked="0" relativeHeight="0" simplePos="0">
          <wp:simplePos x="0" y="0"/>
          <wp:positionH relativeFrom="page">
            <wp:posOffset>-3174</wp:posOffset>
          </wp:positionH>
          <wp:positionV relativeFrom="page">
            <wp:posOffset>-44699</wp:posOffset>
          </wp:positionV>
          <wp:extent cx="7581900" cy="107508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1900" cy="10750800"/>
                  </a:xfrm>
                  <a:prstGeom prst="rect"/>
                  <a:ln/>
                </pic:spPr>
              </pic:pic>
            </a:graphicData>
          </a:graphic>
        </wp:anchor>
      </w:drawing>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d03631"/>
      <w:sz w:val="40"/>
      <w:szCs w:val="40"/>
    </w:rPr>
  </w:style>
  <w:style w:type="paragraph" w:styleId="Heading2">
    <w:name w:val="heading 2"/>
    <w:basedOn w:val="Normal"/>
    <w:next w:val="Normal"/>
    <w:pPr>
      <w:keepNext w:val="1"/>
      <w:keepLines w:val="1"/>
    </w:pPr>
    <w:rPr>
      <w:b w:val="1"/>
      <w:color w:val="e98c00"/>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color w:val="d03631"/>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Light-regular.ttf"/><Relationship Id="rId6" Type="http://schemas.openxmlformats.org/officeDocument/2006/relationships/font" Target="fonts/MontserratExtraLight-bold.ttf"/><Relationship Id="rId7" Type="http://schemas.openxmlformats.org/officeDocument/2006/relationships/font" Target="fonts/MontserratExtraLight-italic.ttf"/><Relationship Id="rId8" Type="http://schemas.openxmlformats.org/officeDocument/2006/relationships/font" Target="fonts/MontserratExtra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